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GrilTabel1"/>
        <w:tblpPr w:leftFromText="180" w:rightFromText="180" w:vertAnchor="text" w:horzAnchor="margin" w:tblpY="-18"/>
        <w:tblW w:w="10173" w:type="dxa"/>
        <w:tblBorders>
          <w:top w:val="none" w:sz="0" w:space="0" w:color="auto"/>
          <w:left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09"/>
        <w:gridCol w:w="4536"/>
        <w:gridCol w:w="3828"/>
      </w:tblGrid>
      <w:tr w:rsidR="00C05B3A" w:rsidRPr="00C05B3A" w:rsidTr="00A71D06">
        <w:trPr>
          <w:trHeight w:val="1098"/>
        </w:trPr>
        <w:tc>
          <w:tcPr>
            <w:tcW w:w="1809" w:type="dxa"/>
            <w:tcBorders>
              <w:top w:val="nil"/>
              <w:left w:val="nil"/>
              <w:bottom w:val="double" w:sz="4" w:space="0" w:color="auto"/>
              <w:right w:val="nil"/>
            </w:tcBorders>
            <w:hideMark/>
          </w:tcPr>
          <w:p w:rsidR="00C05B3A" w:rsidRPr="00C05B3A" w:rsidRDefault="00C05B3A" w:rsidP="00C05B3A">
            <w:pPr>
              <w:tabs>
                <w:tab w:val="center" w:pos="4680"/>
                <w:tab w:val="right" w:pos="9360"/>
              </w:tabs>
              <w:rPr>
                <w:rFonts w:ascii="Calibri" w:eastAsia="Calibri" w:hAnsi="Calibri"/>
                <w:color w:val="0F243E"/>
                <w:lang w:val="en-US" w:eastAsia="ro-RO"/>
              </w:rPr>
            </w:pPr>
            <w:r w:rsidRPr="00C05B3A">
              <w:rPr>
                <w:rFonts w:ascii="Calibri" w:eastAsia="Calibri" w:hAnsi="Calibri"/>
                <w:noProof/>
                <w:color w:val="0F243E"/>
                <w:lang w:eastAsia="ro-RO"/>
              </w:rPr>
              <w:drawing>
                <wp:inline distT="0" distB="0" distL="0" distR="0" wp14:anchorId="15C16052" wp14:editId="3698DD44">
                  <wp:extent cx="809625" cy="660020"/>
                  <wp:effectExtent l="0" t="0" r="0" b="6985"/>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in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15286" cy="664635"/>
                          </a:xfrm>
                          <a:prstGeom prst="rect">
                            <a:avLst/>
                          </a:prstGeom>
                          <a:noFill/>
                          <a:ln>
                            <a:noFill/>
                          </a:ln>
                        </pic:spPr>
                      </pic:pic>
                    </a:graphicData>
                  </a:graphic>
                </wp:inline>
              </w:drawing>
            </w:r>
          </w:p>
        </w:tc>
        <w:tc>
          <w:tcPr>
            <w:tcW w:w="4536" w:type="dxa"/>
            <w:tcBorders>
              <w:top w:val="nil"/>
              <w:left w:val="nil"/>
              <w:bottom w:val="double" w:sz="4" w:space="0" w:color="auto"/>
              <w:right w:val="nil"/>
            </w:tcBorders>
            <w:vAlign w:val="center"/>
            <w:hideMark/>
          </w:tcPr>
          <w:p w:rsidR="00C05B3A" w:rsidRPr="00C05B3A" w:rsidRDefault="00C05B3A" w:rsidP="00C05B3A">
            <w:pPr>
              <w:tabs>
                <w:tab w:val="center" w:pos="4680"/>
                <w:tab w:val="right" w:pos="9360"/>
              </w:tabs>
              <w:jc w:val="center"/>
              <w:rPr>
                <w:rFonts w:ascii="Palatino Linotype" w:eastAsia="Calibri" w:hAnsi="Palatino Linotype"/>
                <w:b/>
                <w:color w:val="244061"/>
                <w:lang w:val="es-ES" w:eastAsia="ro-RO"/>
              </w:rPr>
            </w:pPr>
            <w:r w:rsidRPr="00C05B3A">
              <w:rPr>
                <w:rFonts w:ascii="Palatino Linotype" w:eastAsia="Calibri" w:hAnsi="Palatino Linotype"/>
                <w:b/>
                <w:color w:val="244061"/>
                <w:lang w:val="es-ES" w:eastAsia="ro-RO"/>
              </w:rPr>
              <w:t>INSPECTORATUL ŞCOLAR AL JUDEŢULUI CĂLĂRAŞI</w:t>
            </w:r>
          </w:p>
        </w:tc>
        <w:tc>
          <w:tcPr>
            <w:tcW w:w="3828" w:type="dxa"/>
            <w:tcBorders>
              <w:top w:val="nil"/>
              <w:left w:val="nil"/>
              <w:bottom w:val="double" w:sz="4" w:space="0" w:color="auto"/>
              <w:right w:val="nil"/>
            </w:tcBorders>
            <w:vAlign w:val="center"/>
            <w:hideMark/>
          </w:tcPr>
          <w:p w:rsidR="00C05B3A" w:rsidRPr="00C05B3A" w:rsidRDefault="00C05B3A" w:rsidP="00C05B3A">
            <w:pPr>
              <w:tabs>
                <w:tab w:val="center" w:pos="4680"/>
                <w:tab w:val="right" w:pos="9360"/>
              </w:tabs>
              <w:jc w:val="center"/>
              <w:rPr>
                <w:rFonts w:ascii="Calibri" w:eastAsia="Calibri" w:hAnsi="Calibri"/>
                <w:color w:val="0F243E"/>
                <w:lang w:val="en-US" w:eastAsia="ro-RO"/>
              </w:rPr>
            </w:pPr>
            <w:r w:rsidRPr="00C05B3A">
              <w:rPr>
                <w:rFonts w:ascii="Calibri" w:eastAsia="Calibri" w:hAnsi="Calibri"/>
                <w:noProof/>
                <w:color w:val="0F243E"/>
                <w:lang w:eastAsia="ro-RO"/>
              </w:rPr>
              <w:drawing>
                <wp:inline distT="0" distB="0" distL="0" distR="0" wp14:anchorId="216D4B61" wp14:editId="78F17B43">
                  <wp:extent cx="2242156" cy="599556"/>
                  <wp:effectExtent l="0" t="0" r="6350" b="0"/>
                  <wp:docPr id="4" name="I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258318" cy="603878"/>
                          </a:xfrm>
                          <a:prstGeom prst="rect">
                            <a:avLst/>
                          </a:prstGeom>
                          <a:noFill/>
                        </pic:spPr>
                      </pic:pic>
                    </a:graphicData>
                  </a:graphic>
                </wp:inline>
              </w:drawing>
            </w:r>
            <w:r w:rsidRPr="00C05B3A">
              <w:rPr>
                <w:rFonts w:ascii="Calibri" w:eastAsia="Calibri" w:hAnsi="Calibri"/>
                <w:noProof/>
                <w:color w:val="0F243E"/>
                <w:lang w:eastAsia="ro-RO"/>
              </w:rPr>
              <w:drawing>
                <wp:anchor distT="0" distB="0" distL="114300" distR="114300" simplePos="0" relativeHeight="251659264" behindDoc="0" locked="0" layoutInCell="1" allowOverlap="1" wp14:anchorId="6312ADED" wp14:editId="5EA74F36">
                  <wp:simplePos x="0" y="0"/>
                  <wp:positionH relativeFrom="column">
                    <wp:posOffset>3610610</wp:posOffset>
                  </wp:positionH>
                  <wp:positionV relativeFrom="paragraph">
                    <wp:posOffset>668655</wp:posOffset>
                  </wp:positionV>
                  <wp:extent cx="3318510" cy="618490"/>
                  <wp:effectExtent l="0" t="0" r="0" b="0"/>
                  <wp:wrapNone/>
                  <wp:docPr id="5" name="Imagin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318510" cy="618490"/>
                          </a:xfrm>
                          <a:prstGeom prst="rect">
                            <a:avLst/>
                          </a:prstGeom>
                          <a:noFill/>
                          <a:ln>
                            <a:noFill/>
                          </a:ln>
                        </pic:spPr>
                      </pic:pic>
                    </a:graphicData>
                  </a:graphic>
                  <wp14:sizeRelH relativeFrom="page">
                    <wp14:pctWidth>0</wp14:pctWidth>
                  </wp14:sizeRelH>
                  <wp14:sizeRelV relativeFrom="page">
                    <wp14:pctHeight>0</wp14:pctHeight>
                  </wp14:sizeRelV>
                </wp:anchor>
              </w:drawing>
            </w:r>
          </w:p>
        </w:tc>
      </w:tr>
    </w:tbl>
    <w:p w:rsidR="00C05B3A" w:rsidRPr="00C05B3A" w:rsidRDefault="00C05B3A" w:rsidP="00C05B3A">
      <w:pPr>
        <w:spacing w:after="160" w:line="256" w:lineRule="auto"/>
        <w:rPr>
          <w:rFonts w:ascii="Calibri" w:eastAsia="Calibri" w:hAnsi="Calibri" w:cs="Times New Roman"/>
        </w:rPr>
      </w:pPr>
      <w:r w:rsidRPr="00C05B3A">
        <w:rPr>
          <w:rFonts w:ascii="Calibri" w:eastAsia="Calibri" w:hAnsi="Calibri" w:cs="Times New Roman"/>
        </w:rPr>
        <w:tab/>
      </w:r>
      <w:r w:rsidRPr="00C05B3A">
        <w:rPr>
          <w:rFonts w:ascii="Calibri" w:eastAsia="Calibri" w:hAnsi="Calibri" w:cs="Times New Roman"/>
        </w:rPr>
        <w:tab/>
      </w:r>
      <w:r w:rsidRPr="00C05B3A">
        <w:rPr>
          <w:rFonts w:ascii="Calibri" w:eastAsia="Calibri" w:hAnsi="Calibri" w:cs="Times New Roman"/>
        </w:rPr>
        <w:tab/>
      </w:r>
      <w:r w:rsidRPr="00C05B3A">
        <w:rPr>
          <w:rFonts w:ascii="Calibri" w:eastAsia="Calibri" w:hAnsi="Calibri" w:cs="Times New Roman"/>
        </w:rPr>
        <w:tab/>
      </w:r>
      <w:r w:rsidRPr="00C05B3A">
        <w:rPr>
          <w:rFonts w:ascii="Calibri" w:eastAsia="Calibri" w:hAnsi="Calibri" w:cs="Times New Roman"/>
        </w:rPr>
        <w:tab/>
      </w:r>
      <w:r w:rsidRPr="00C05B3A">
        <w:rPr>
          <w:rFonts w:ascii="Calibri" w:eastAsia="Calibri" w:hAnsi="Calibri" w:cs="Times New Roman"/>
        </w:rPr>
        <w:tab/>
      </w:r>
      <w:r w:rsidRPr="00C05B3A">
        <w:rPr>
          <w:rFonts w:ascii="Calibri" w:eastAsia="Calibri" w:hAnsi="Calibri" w:cs="Times New Roman"/>
        </w:rPr>
        <w:tab/>
      </w:r>
      <w:r w:rsidRPr="00C05B3A">
        <w:rPr>
          <w:rFonts w:ascii="Calibri" w:eastAsia="Calibri" w:hAnsi="Calibri" w:cs="Times New Roman"/>
        </w:rPr>
        <w:tab/>
      </w:r>
      <w:r w:rsidRPr="00C05B3A">
        <w:rPr>
          <w:rFonts w:ascii="Calibri" w:eastAsia="Calibri" w:hAnsi="Calibri" w:cs="Times New Roman"/>
        </w:rPr>
        <w:tab/>
      </w:r>
      <w:r w:rsidRPr="00C05B3A">
        <w:rPr>
          <w:rFonts w:ascii="Calibri" w:eastAsia="Calibri" w:hAnsi="Calibri" w:cs="Times New Roman"/>
        </w:rPr>
        <w:tab/>
      </w:r>
    </w:p>
    <w:p w:rsidR="00674448" w:rsidRDefault="00674448" w:rsidP="00F21794">
      <w:pPr>
        <w:pStyle w:val="Default"/>
        <w:jc w:val="both"/>
        <w:rPr>
          <w:rFonts w:ascii="Arial Narrow" w:hAnsi="Arial Narrow"/>
          <w:b/>
          <w:bCs/>
        </w:rPr>
      </w:pPr>
      <w:bookmarkStart w:id="0" w:name="_GoBack"/>
      <w:bookmarkEnd w:id="0"/>
    </w:p>
    <w:p w:rsidR="00674448" w:rsidRDefault="00674448" w:rsidP="00F21794">
      <w:pPr>
        <w:pStyle w:val="Default"/>
        <w:jc w:val="both"/>
        <w:rPr>
          <w:rFonts w:ascii="Arial Narrow" w:hAnsi="Arial Narrow"/>
          <w:b/>
          <w:bCs/>
        </w:rPr>
      </w:pPr>
    </w:p>
    <w:p w:rsidR="00F21794" w:rsidRPr="00674448" w:rsidRDefault="00F21794" w:rsidP="00674448">
      <w:pPr>
        <w:pStyle w:val="Default"/>
        <w:jc w:val="center"/>
        <w:rPr>
          <w:rFonts w:ascii="Arial Narrow" w:hAnsi="Arial Narrow"/>
          <w:color w:val="0070C0"/>
        </w:rPr>
      </w:pPr>
      <w:r w:rsidRPr="00674448">
        <w:rPr>
          <w:rFonts w:ascii="Arial Narrow" w:hAnsi="Arial Narrow"/>
          <w:b/>
          <w:bCs/>
          <w:color w:val="0070C0"/>
        </w:rPr>
        <w:t>Stabilirea personalului didactic pensionat care se reîncadrează în funcţia de personal didactic,</w:t>
      </w:r>
    </w:p>
    <w:p w:rsidR="00F21794" w:rsidRDefault="00F21794" w:rsidP="00674448">
      <w:pPr>
        <w:pStyle w:val="Default"/>
        <w:jc w:val="center"/>
        <w:rPr>
          <w:rFonts w:ascii="Arial Narrow" w:hAnsi="Arial Narrow"/>
          <w:b/>
          <w:bCs/>
          <w:color w:val="0070C0"/>
        </w:rPr>
      </w:pPr>
      <w:r w:rsidRPr="00674448">
        <w:rPr>
          <w:rFonts w:ascii="Arial Narrow" w:hAnsi="Arial Narrow"/>
          <w:b/>
          <w:bCs/>
          <w:color w:val="0070C0"/>
        </w:rPr>
        <w:t>în anul şcolar 201</w:t>
      </w:r>
      <w:r w:rsidR="00821B66">
        <w:rPr>
          <w:rFonts w:ascii="Arial Narrow" w:hAnsi="Arial Narrow"/>
          <w:b/>
          <w:bCs/>
          <w:color w:val="0070C0"/>
        </w:rPr>
        <w:t>6</w:t>
      </w:r>
      <w:r w:rsidRPr="00674448">
        <w:rPr>
          <w:rFonts w:ascii="Arial Narrow" w:hAnsi="Arial Narrow"/>
          <w:b/>
          <w:bCs/>
          <w:color w:val="0070C0"/>
        </w:rPr>
        <w:t>-201</w:t>
      </w:r>
      <w:r w:rsidR="00821B66">
        <w:rPr>
          <w:rFonts w:ascii="Arial Narrow" w:hAnsi="Arial Narrow"/>
          <w:b/>
          <w:bCs/>
          <w:color w:val="0070C0"/>
        </w:rPr>
        <w:t>7</w:t>
      </w:r>
      <w:r w:rsidRPr="00674448">
        <w:rPr>
          <w:rFonts w:ascii="Arial Narrow" w:hAnsi="Arial Narrow"/>
          <w:b/>
          <w:bCs/>
          <w:color w:val="0070C0"/>
        </w:rPr>
        <w:t>, cu condiția suspendării pensiei pe durata reîncadrării</w:t>
      </w:r>
    </w:p>
    <w:p w:rsidR="00674448" w:rsidRPr="00674448" w:rsidRDefault="00674448" w:rsidP="00674448">
      <w:pPr>
        <w:pStyle w:val="Default"/>
        <w:jc w:val="center"/>
        <w:rPr>
          <w:rFonts w:ascii="Arial Narrow" w:hAnsi="Arial Narrow"/>
          <w:color w:val="0070C0"/>
        </w:rPr>
      </w:pPr>
    </w:p>
    <w:p w:rsidR="00F21794" w:rsidRDefault="00F21794" w:rsidP="00F21794">
      <w:pPr>
        <w:pStyle w:val="Default"/>
        <w:jc w:val="both"/>
        <w:rPr>
          <w:rFonts w:ascii="Arial Narrow" w:hAnsi="Arial Narrow"/>
        </w:rPr>
      </w:pPr>
    </w:p>
    <w:p w:rsidR="003D0967" w:rsidRPr="003D0967" w:rsidRDefault="003D0967" w:rsidP="003D0967">
      <w:pPr>
        <w:pStyle w:val="Default"/>
        <w:spacing w:after="100" w:afterAutospacing="1"/>
        <w:jc w:val="both"/>
        <w:rPr>
          <w:rFonts w:ascii="Arial Narrow" w:hAnsi="Arial Narrow"/>
        </w:rPr>
      </w:pPr>
      <w:r w:rsidRPr="003D0967">
        <w:rPr>
          <w:rFonts w:ascii="Arial Narrow" w:hAnsi="Arial Narrow"/>
        </w:rPr>
        <w:t xml:space="preserve">Art. 59 (1) În anul școlar 2016-2017, personalul didactic pensionat cu gradul didactic I sau cu titlul științific de doctor care a avut calitatea de titular în învățământul preuniversitar și care nu a depășit cu 3 ani vârsta de pensionare, raportată la data de 1 septembrie 2016, poate fi reîncadrat în funcţia de personal didactic cu acordul consiliilor de administrație ale unităților de învățământ, conform prezentei Metodologii, cu condiția suspendării pensiei pe durata reîncadrării. </w:t>
      </w:r>
    </w:p>
    <w:p w:rsidR="003D0967" w:rsidRPr="003D0967" w:rsidRDefault="003D0967" w:rsidP="003D0967">
      <w:pPr>
        <w:pStyle w:val="Default"/>
        <w:spacing w:after="100" w:afterAutospacing="1"/>
        <w:jc w:val="both"/>
        <w:rPr>
          <w:rFonts w:ascii="Arial Narrow" w:hAnsi="Arial Narrow"/>
        </w:rPr>
      </w:pPr>
      <w:r w:rsidRPr="003D0967">
        <w:rPr>
          <w:rFonts w:ascii="Arial Narrow" w:hAnsi="Arial Narrow"/>
        </w:rPr>
        <w:t xml:space="preserve">(2) Personalul didactic care se încadrează în prevederile alin. (1) se adresează, în scris, consiliilor de administrație ale unităților de învățământ, în perioada prevăzută în Calendar. Profesorii consilieri în centre și cabinete de asistență </w:t>
      </w:r>
      <w:proofErr w:type="spellStart"/>
      <w:r w:rsidRPr="003D0967">
        <w:rPr>
          <w:rFonts w:ascii="Arial Narrow" w:hAnsi="Arial Narrow"/>
        </w:rPr>
        <w:t>psihopedagogică</w:t>
      </w:r>
      <w:proofErr w:type="spellEnd"/>
      <w:r w:rsidRPr="003D0967">
        <w:rPr>
          <w:rFonts w:ascii="Arial Narrow" w:hAnsi="Arial Narrow"/>
        </w:rPr>
        <w:t xml:space="preserve"> adresează cerere CMBRAE/CJRAE în cadrul căruia este normat postul didactic respectiv. Cererile sunt însoțite de documentele justificative privind activitatea didactică și științifică. </w:t>
      </w:r>
    </w:p>
    <w:p w:rsidR="003D0967" w:rsidRPr="003D0967" w:rsidRDefault="003D0967" w:rsidP="003D0967">
      <w:pPr>
        <w:pStyle w:val="Default"/>
        <w:spacing w:after="100" w:afterAutospacing="1"/>
        <w:jc w:val="both"/>
        <w:rPr>
          <w:rFonts w:ascii="Arial Narrow" w:hAnsi="Arial Narrow"/>
        </w:rPr>
      </w:pPr>
      <w:r w:rsidRPr="003D0967">
        <w:rPr>
          <w:rFonts w:ascii="Arial Narrow" w:hAnsi="Arial Narrow"/>
        </w:rPr>
        <w:t xml:space="preserve">(3) În perioada prevăzută de Calendar, inspectoratele școlare afișează la avizierele și pe paginile web ale acestora: </w:t>
      </w:r>
    </w:p>
    <w:p w:rsidR="003D0967" w:rsidRPr="003D0967" w:rsidRDefault="003D0967" w:rsidP="003D0967">
      <w:pPr>
        <w:pStyle w:val="Default"/>
        <w:spacing w:after="100" w:afterAutospacing="1"/>
        <w:jc w:val="both"/>
        <w:rPr>
          <w:rFonts w:ascii="Arial Narrow" w:hAnsi="Arial Narrow"/>
        </w:rPr>
      </w:pPr>
    </w:p>
    <w:p w:rsidR="003D0967" w:rsidRPr="003D0967" w:rsidRDefault="003D0967" w:rsidP="003D0967">
      <w:pPr>
        <w:pStyle w:val="Default"/>
        <w:spacing w:after="100" w:afterAutospacing="1"/>
        <w:jc w:val="both"/>
        <w:rPr>
          <w:rFonts w:ascii="Arial Narrow" w:hAnsi="Arial Narrow"/>
        </w:rPr>
      </w:pPr>
      <w:r w:rsidRPr="003D0967">
        <w:rPr>
          <w:rFonts w:ascii="Arial Narrow" w:hAnsi="Arial Narrow"/>
        </w:rPr>
        <w:t xml:space="preserve">a) lista unităților de învățământ și a posturilor didactice/catedrelor la care sunt încadrate cadre didactice fără studii corespunzătoare postului; </w:t>
      </w:r>
    </w:p>
    <w:p w:rsidR="003D0967" w:rsidRPr="003D0967" w:rsidRDefault="003D0967" w:rsidP="003D0967">
      <w:pPr>
        <w:pStyle w:val="Default"/>
        <w:spacing w:after="100" w:afterAutospacing="1"/>
        <w:jc w:val="both"/>
        <w:rPr>
          <w:rFonts w:ascii="Arial Narrow" w:hAnsi="Arial Narrow"/>
        </w:rPr>
      </w:pPr>
    </w:p>
    <w:p w:rsidR="003D0967" w:rsidRPr="003D0967" w:rsidRDefault="003D0967" w:rsidP="003D0967">
      <w:pPr>
        <w:pStyle w:val="Default"/>
        <w:spacing w:after="100" w:afterAutospacing="1"/>
        <w:jc w:val="both"/>
        <w:rPr>
          <w:rFonts w:ascii="Arial Narrow" w:hAnsi="Arial Narrow"/>
        </w:rPr>
      </w:pPr>
      <w:r w:rsidRPr="003D0967">
        <w:rPr>
          <w:rFonts w:ascii="Arial Narrow" w:hAnsi="Arial Narrow"/>
        </w:rPr>
        <w:t xml:space="preserve">b) lista unităților de învățământ și a posturilor didactice/catedrelor la care au rămas restrângeri de activitate nesoluționate. </w:t>
      </w:r>
    </w:p>
    <w:p w:rsidR="003D0967" w:rsidRPr="003D0967" w:rsidRDefault="003D0967" w:rsidP="003D0967">
      <w:pPr>
        <w:pStyle w:val="Default"/>
        <w:spacing w:after="100" w:afterAutospacing="1"/>
        <w:jc w:val="both"/>
        <w:rPr>
          <w:rFonts w:ascii="Arial Narrow" w:hAnsi="Arial Narrow"/>
        </w:rPr>
      </w:pPr>
    </w:p>
    <w:p w:rsidR="003D0967" w:rsidRPr="003D0967" w:rsidRDefault="003D0967" w:rsidP="003D0967">
      <w:pPr>
        <w:pStyle w:val="Default"/>
        <w:spacing w:after="100" w:afterAutospacing="1"/>
        <w:jc w:val="both"/>
        <w:rPr>
          <w:rFonts w:ascii="Arial Narrow" w:hAnsi="Arial Narrow"/>
        </w:rPr>
      </w:pPr>
      <w:r w:rsidRPr="003D0967">
        <w:rPr>
          <w:rFonts w:ascii="Arial Narrow" w:hAnsi="Arial Narrow"/>
        </w:rPr>
        <w:t xml:space="preserve">(4) În perioada prevăzută de Calendar, cererile cadrelor didactice care se încadrează în prevederile alin. (1) și (2) se discută și se analizează de către consiliile profesorale ale unităților de învățământ, în funcție de datele comunicate de inspectoratele școlare, de evoluția demografică la nivel local, de planurile de școlarizare, de dinamica resurselor umane, de politicile de personal și de evoluția planurilor-cadru de învățământ și se supun aprobării consiliilor de administrație ale unităților de învățământ. </w:t>
      </w:r>
    </w:p>
    <w:p w:rsidR="003D0967" w:rsidRPr="003D0967" w:rsidRDefault="003D0967" w:rsidP="003D0967">
      <w:pPr>
        <w:pStyle w:val="Default"/>
        <w:spacing w:after="100" w:afterAutospacing="1"/>
        <w:jc w:val="both"/>
        <w:rPr>
          <w:rFonts w:ascii="Arial Narrow" w:hAnsi="Arial Narrow"/>
        </w:rPr>
      </w:pPr>
      <w:r w:rsidRPr="003D0967">
        <w:rPr>
          <w:rFonts w:ascii="Arial Narrow" w:hAnsi="Arial Narrow"/>
        </w:rPr>
        <w:t xml:space="preserve">(5) Reîncadrarea în funcţia de personal didactic a personalului didactic pensionat care a avut calitatea de titular în învățământul preuniversitar și care nu a depășit cu 3 ani vârsta de pensionare, raportată la data de 1 septembrie 2016, se realizează în concordanță cu actul de numire/transfer/repartizare pe post/catedră la momentul pensionării, luând în considerare prevederile art. 262 alin. (4) şi (5) din Legea nr. 1/2011 cu modificările şi completările ulterioare şi prevederile art. 25 alin. (3) lit. f). </w:t>
      </w:r>
    </w:p>
    <w:p w:rsidR="003D0967" w:rsidRPr="003D0967" w:rsidRDefault="003D0967" w:rsidP="003D0967">
      <w:pPr>
        <w:pStyle w:val="Default"/>
        <w:spacing w:after="100" w:afterAutospacing="1"/>
        <w:jc w:val="both"/>
        <w:rPr>
          <w:rFonts w:ascii="Arial Narrow" w:hAnsi="Arial Narrow"/>
        </w:rPr>
      </w:pPr>
      <w:r w:rsidRPr="003D0967">
        <w:rPr>
          <w:rFonts w:ascii="Arial Narrow" w:hAnsi="Arial Narrow"/>
        </w:rPr>
        <w:lastRenderedPageBreak/>
        <w:t xml:space="preserve">(6) Se aprobă numai cererile cadrelor didactice pentru care se poate constitui o normă didactică vacantă completă în concordanță cu actul de numire/transfer/repartizare pe post/catedră la nivelul unităților de învățământ în care urmează să fie reîncadrate în funcţia de personal didactic a personalului didactic cadre didactice pensionate care se încadrează în prevederile alin. (1), luând în considerare prevederile art. 262 alin. (4) şi (5) din Legea nr. 1/2011 cu modificările şi completările ulterioare şi prevederile art. 25 alin. (3) lit. f). </w:t>
      </w:r>
    </w:p>
    <w:p w:rsidR="003D0967" w:rsidRPr="003D0967" w:rsidRDefault="003D0967" w:rsidP="003D0967">
      <w:pPr>
        <w:pStyle w:val="Default"/>
        <w:spacing w:after="100" w:afterAutospacing="1"/>
        <w:jc w:val="both"/>
        <w:rPr>
          <w:rFonts w:ascii="Arial Narrow" w:hAnsi="Arial Narrow"/>
        </w:rPr>
      </w:pPr>
      <w:r w:rsidRPr="003D0967">
        <w:rPr>
          <w:rFonts w:ascii="Arial Narrow" w:hAnsi="Arial Narrow"/>
        </w:rPr>
        <w:t xml:space="preserve">(7) Până la termenul prevăzut în Calendar, se comunică, de către consiliile de administrație ale unităților de învățământ, inspectoratului școlar și cadrelor didactice acordul/refuzul privind reîncadrarea personalului didactic pensionat, în anul școlar 2016-2017, care a avut calitatea de titular în învățământul preuniversitar și care nu a depășit cu 3 ani vârsta de pensionare, raportată la data de 1 septembrie 2016. Comisia de mobilitate a personalului didactic din învățământul preuniversitar, constituită la nivelul inspectoratului școlar, verifică situațiile transmise de unitățile de învățământ și întocmește listele finale care cuprind cadrele didactice pensionate care au avut calitatea de titular, nu au depășit cu 3 ani vârsta de pensionare, raportată la data de 1 septembrie 2016 și solicită reîncadrarea în anul școlar 2016-2017. </w:t>
      </w:r>
    </w:p>
    <w:p w:rsidR="003D0967" w:rsidRPr="003D0967" w:rsidRDefault="003D0967" w:rsidP="003D0967">
      <w:pPr>
        <w:pStyle w:val="Default"/>
        <w:spacing w:after="100" w:afterAutospacing="1"/>
        <w:jc w:val="both"/>
        <w:rPr>
          <w:rFonts w:ascii="Arial Narrow" w:hAnsi="Arial Narrow"/>
        </w:rPr>
      </w:pPr>
      <w:r w:rsidRPr="003D0967">
        <w:rPr>
          <w:rFonts w:ascii="Arial Narrow" w:hAnsi="Arial Narrow"/>
        </w:rPr>
        <w:t>(8) Listele finale, întocmite potrivit alin. (7), se supun validării de către consiliul de administrație al inspectoratului școlar în perioada prevăzută de Calendar. La validarea listelor finale, întocmite potrivit alin. (7), consiliul de administrație al inspectoratului școlar va ține seama de restrângerile de activitate nesoluționate, de prevederile alin. (5) şi (6), de evoluția demografică, de planurile de școlarizare, de dinamica resurselor umane, de politicile de personal și de evoluția planurilor-cadru de învățământ. Listele finale, validate de către consiliul de administrație al inspectoratului școlar, se afișează la inspectoratul școlar la termenul prevăzut în Calendar. La inspectoratul școlar se afișează și listele care cuprind cadrele didactice pensionate ale căror cereri de reîncadrare în funcția didactică, în anul școlar 2016-2017 , au fost respinse la nivelul unităților de învățământ.</w:t>
      </w:r>
    </w:p>
    <w:p w:rsidR="003D0967" w:rsidRPr="003D0967" w:rsidRDefault="003D0967" w:rsidP="003D0967">
      <w:pPr>
        <w:pStyle w:val="Default"/>
        <w:spacing w:after="100" w:afterAutospacing="1"/>
        <w:jc w:val="both"/>
        <w:rPr>
          <w:rFonts w:ascii="Arial Narrow" w:hAnsi="Arial Narrow"/>
        </w:rPr>
      </w:pPr>
      <w:r w:rsidRPr="003D0967">
        <w:rPr>
          <w:rFonts w:ascii="Arial Narrow" w:hAnsi="Arial Narrow"/>
        </w:rPr>
        <w:t xml:space="preserve">(11) În condițiile în care, până la data de 1 septembrie 2016, se constată că, din cauza reducerii numărului de ore în disciplină, nu mai este îndeplinită condiția de la alin. (6), inspectoratul școlar revocă decizia privind reîncadrarea în funcţia de personal didactic, în anul școlar 2016-2017, a personalului didactic pensionat care a avut calitatea de titular în învăţământul preuniversitar și care nu a depășit cu 3 ani vârsta de pensionare, raportată la data de 1 septembrie 2016. </w:t>
      </w:r>
    </w:p>
    <w:p w:rsidR="00AE0B4E" w:rsidRPr="00F21794" w:rsidRDefault="003D0967" w:rsidP="003D0967">
      <w:pPr>
        <w:pStyle w:val="Default"/>
        <w:spacing w:after="100" w:afterAutospacing="1"/>
        <w:jc w:val="both"/>
        <w:rPr>
          <w:rFonts w:ascii="Arial Narrow" w:hAnsi="Arial Narrow"/>
        </w:rPr>
      </w:pPr>
      <w:r w:rsidRPr="003D0967">
        <w:rPr>
          <w:rFonts w:ascii="Arial Narrow" w:hAnsi="Arial Narrow"/>
        </w:rPr>
        <w:t>(12) În baza deciziei privind reîncadrarea pentru cadrele didactice pensionate în funcţia de personal didactic, care au avut calitatea de titular în învățământul preuniversitar și care nu au depășit cu 3 ani vârsta de pensionare, raportată la data de 1 septembrie 2016, directorii unităților de învățământ încheie cu aceste cadre didactice contracte individuale de muncă pe perioadă determinată pentru anul școlar 2016-2017.</w:t>
      </w:r>
    </w:p>
    <w:sectPr w:rsidR="00AE0B4E" w:rsidRPr="00F217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8"/>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21794"/>
    <w:rsid w:val="003D0967"/>
    <w:rsid w:val="005A67DF"/>
    <w:rsid w:val="00674448"/>
    <w:rsid w:val="00821B66"/>
    <w:rsid w:val="00AE0B4E"/>
    <w:rsid w:val="00C05B3A"/>
    <w:rsid w:val="00D87301"/>
    <w:rsid w:val="00F21794"/>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F21794"/>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674448"/>
    <w:pPr>
      <w:tabs>
        <w:tab w:val="center" w:pos="4536"/>
        <w:tab w:val="right" w:pos="9072"/>
      </w:tabs>
      <w:spacing w:after="0" w:line="240" w:lineRule="auto"/>
    </w:pPr>
  </w:style>
  <w:style w:type="character" w:customStyle="1" w:styleId="AntetCaracter">
    <w:name w:val="Antet Caracter"/>
    <w:basedOn w:val="Fontdeparagrafimplicit"/>
    <w:link w:val="Antet"/>
    <w:rsid w:val="00674448"/>
  </w:style>
  <w:style w:type="table" w:customStyle="1" w:styleId="GrilTabel1">
    <w:name w:val="Grilă Tabel1"/>
    <w:basedOn w:val="TabelNormal"/>
    <w:rsid w:val="00C05B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C05B3A"/>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05B3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301"/>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customStyle="1" w:styleId="Default">
    <w:name w:val="Default"/>
    <w:rsid w:val="00F21794"/>
    <w:pPr>
      <w:autoSpaceDE w:val="0"/>
      <w:autoSpaceDN w:val="0"/>
      <w:adjustRightInd w:val="0"/>
      <w:spacing w:after="0" w:line="240" w:lineRule="auto"/>
    </w:pPr>
    <w:rPr>
      <w:rFonts w:ascii="Times New Roman" w:hAnsi="Times New Roman" w:cs="Times New Roman"/>
      <w:color w:val="000000"/>
      <w:sz w:val="24"/>
      <w:szCs w:val="24"/>
    </w:rPr>
  </w:style>
  <w:style w:type="paragraph" w:styleId="Antet">
    <w:name w:val="header"/>
    <w:basedOn w:val="Normal"/>
    <w:link w:val="AntetCaracter"/>
    <w:unhideWhenUsed/>
    <w:rsid w:val="00674448"/>
    <w:pPr>
      <w:tabs>
        <w:tab w:val="center" w:pos="4536"/>
        <w:tab w:val="right" w:pos="9072"/>
      </w:tabs>
      <w:spacing w:after="0" w:line="240" w:lineRule="auto"/>
    </w:pPr>
  </w:style>
  <w:style w:type="character" w:customStyle="1" w:styleId="AntetCaracter">
    <w:name w:val="Antet Caracter"/>
    <w:basedOn w:val="Fontdeparagrafimplicit"/>
    <w:link w:val="Antet"/>
    <w:rsid w:val="00674448"/>
  </w:style>
  <w:style w:type="table" w:customStyle="1" w:styleId="GrilTabel1">
    <w:name w:val="Grilă Tabel1"/>
    <w:basedOn w:val="TabelNormal"/>
    <w:rsid w:val="00C05B3A"/>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nBalon">
    <w:name w:val="Balloon Text"/>
    <w:basedOn w:val="Normal"/>
    <w:link w:val="TextnBalonCaracter"/>
    <w:uiPriority w:val="99"/>
    <w:semiHidden/>
    <w:unhideWhenUsed/>
    <w:rsid w:val="00C05B3A"/>
    <w:pPr>
      <w:spacing w:after="0" w:line="240" w:lineRule="auto"/>
    </w:pPr>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C05B3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ă Office">
  <a:themeElements>
    <a:clrScheme name="Concurență">
      <a:dk1>
        <a:sysClr val="windowText" lastClr="000000"/>
      </a:dk1>
      <a:lt1>
        <a:sysClr val="window" lastClr="FFFFFF"/>
      </a:lt1>
      <a:dk2>
        <a:srgbClr val="464646"/>
      </a:dk2>
      <a:lt2>
        <a:srgbClr val="DEF5FA"/>
      </a:lt2>
      <a:accent1>
        <a:srgbClr val="2DA2BF"/>
      </a:accent1>
      <a:accent2>
        <a:srgbClr val="DA1F28"/>
      </a:accent2>
      <a:accent3>
        <a:srgbClr val="EB641B"/>
      </a:accent3>
      <a:accent4>
        <a:srgbClr val="39639D"/>
      </a:accent4>
      <a:accent5>
        <a:srgbClr val="474B78"/>
      </a:accent5>
      <a:accent6>
        <a:srgbClr val="7D3C4A"/>
      </a:accent6>
      <a:hlink>
        <a:srgbClr val="FF8119"/>
      </a:hlink>
      <a:folHlink>
        <a:srgbClr val="44B9E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2</Pages>
  <Words>857</Words>
  <Characters>4974</Characters>
  <Application>Microsoft Office Word</Application>
  <DocSecurity>0</DocSecurity>
  <Lines>41</Lines>
  <Paragraphs>11</Paragraphs>
  <ScaleCrop>false</ScaleCrop>
  <Company/>
  <LinksUpToDate>false</LinksUpToDate>
  <CharactersWithSpaces>5820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NICUSOR</dc:creator>
  <cp:lastModifiedBy>NICUSOR</cp:lastModifiedBy>
  <cp:revision>6</cp:revision>
  <dcterms:created xsi:type="dcterms:W3CDTF">2015-01-21T12:43:00Z</dcterms:created>
  <dcterms:modified xsi:type="dcterms:W3CDTF">2016-02-18T12:48:00Z</dcterms:modified>
</cp:coreProperties>
</file>